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4" w:type="dxa"/>
        <w:tblInd w:w="-1701" w:type="dxa"/>
        <w:tblLook w:val="00A0"/>
      </w:tblPr>
      <w:tblGrid>
        <w:gridCol w:w="5283"/>
        <w:gridCol w:w="6711"/>
      </w:tblGrid>
      <w:tr w:rsidR="002D6907" w:rsidRPr="00C770CC" w:rsidTr="00C770CC">
        <w:trPr>
          <w:trHeight w:val="1378"/>
        </w:trPr>
        <w:tc>
          <w:tcPr>
            <w:tcW w:w="5283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770C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5pt;visibility:visible">
                  <v:imagedata r:id="rId7" o:title=""/>
                </v:shape>
              </w:pict>
            </w:r>
          </w:p>
        </w:tc>
        <w:tc>
          <w:tcPr>
            <w:tcW w:w="6711" w:type="dxa"/>
          </w:tcPr>
          <w:p w:rsidR="002D6907" w:rsidRPr="00C770CC" w:rsidRDefault="002D6907" w:rsidP="00C770CC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C770CC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2D6907" w:rsidRPr="00C770CC" w:rsidRDefault="002D6907" w:rsidP="00C770CC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C770CC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2D6907" w:rsidRPr="00C770CC" w:rsidRDefault="002D6907" w:rsidP="00C770CC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C770CC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2D6907" w:rsidRPr="00C770CC" w:rsidRDefault="002D6907" w:rsidP="00C770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6907" w:rsidRPr="00C770CC" w:rsidTr="00C770CC">
        <w:trPr>
          <w:trHeight w:val="936"/>
        </w:trPr>
        <w:tc>
          <w:tcPr>
            <w:tcW w:w="11994" w:type="dxa"/>
            <w:gridSpan w:val="2"/>
          </w:tcPr>
          <w:p w:rsidR="002D6907" w:rsidRPr="00C770CC" w:rsidRDefault="002D6907" w:rsidP="00C770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D6907" w:rsidRPr="00C770CC" w:rsidRDefault="002D6907" w:rsidP="00C770CC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RPr="00C770CC">
              <w:rPr>
                <w:color w:val="0F243E"/>
                <w:sz w:val="28"/>
                <w:szCs w:val="28"/>
              </w:rPr>
              <w:t>Аннотация образовательной программы</w:t>
            </w:r>
          </w:p>
          <w:p w:rsidR="002D6907" w:rsidRPr="00C770CC" w:rsidRDefault="002D6907" w:rsidP="00C770CC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2D6907" w:rsidRPr="00C770CC" w:rsidTr="00C770CC">
        <w:trPr>
          <w:trHeight w:val="1035"/>
        </w:trPr>
        <w:tc>
          <w:tcPr>
            <w:tcW w:w="11994" w:type="dxa"/>
            <w:gridSpan w:val="2"/>
            <w:shd w:val="clear" w:color="auto" w:fill="0F243E"/>
            <w:vAlign w:val="center"/>
          </w:tcPr>
          <w:p w:rsidR="002D6907" w:rsidRPr="00C770CC" w:rsidRDefault="002D6907" w:rsidP="00C770CC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2D6907" w:rsidRPr="00C770CC" w:rsidRDefault="002D6907" w:rsidP="00C770CC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28"/>
              </w:rPr>
            </w:pPr>
            <w:r w:rsidRPr="00C770CC">
              <w:rPr>
                <w:b/>
                <w:caps/>
                <w:color w:val="FFFFFF"/>
                <w:sz w:val="44"/>
                <w:szCs w:val="28"/>
              </w:rPr>
              <w:t>«ЭКОНОМИКА ТРУДА»</w:t>
            </w:r>
          </w:p>
          <w:p w:rsidR="002D6907" w:rsidRPr="00C770CC" w:rsidRDefault="002D6907" w:rsidP="00C770CC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p w:rsidR="002D6907" w:rsidRPr="001F3A9E" w:rsidRDefault="002D6907" w:rsidP="00300C60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881" w:type="dxa"/>
        <w:tblLook w:val="00A0"/>
      </w:tblPr>
      <w:tblGrid>
        <w:gridCol w:w="3510"/>
        <w:gridCol w:w="7371"/>
      </w:tblGrid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2D6907" w:rsidRPr="00C770CC" w:rsidTr="00C770CC">
        <w:trPr>
          <w:trHeight w:val="283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>Экономика  38.04.01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283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 xml:space="preserve">Магистр 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spacing w:before="0" w:after="0" w:line="240" w:lineRule="auto"/>
              <w:ind w:left="360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297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>Очная/заочная</w:t>
            </w:r>
          </w:p>
        </w:tc>
      </w:tr>
      <w:tr w:rsidR="002D6907" w:rsidRPr="00C770CC" w:rsidTr="00C770CC">
        <w:trPr>
          <w:trHeight w:val="57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spacing w:before="0" w:after="0" w:line="240" w:lineRule="auto"/>
              <w:ind w:left="360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2D6907" w:rsidRPr="003C578B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3C578B">
              <w:rPr>
                <w:sz w:val="20"/>
                <w:szCs w:val="20"/>
              </w:rPr>
              <w:t>Лица, имеющие документы о высшем образовании,</w:t>
            </w:r>
          </w:p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>руководители и специалисты служб персонала, директора по персоналу, коммерческие директора, решившие значительно повысить свой уровень профессиональной подготовки и выйти на новый этап развития карьеры, овладев глубокими знаниями в области экономики труда и управления персоналом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>Подготовка специалистов высокой квалификации и руководителей в области экономики труда и управления персоналом, способных анализировать и прогнозировать тенденции развития рынка труда и занятости на уровне национальной экономики и отдельных регионов, а также способных формировать стратегию и тактику управления трудом и человеческими ресурсами в организациях различных сфер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C770CC">
              <w:rPr>
                <w:color w:val="0F243E"/>
                <w:sz w:val="20"/>
                <w:szCs w:val="20"/>
              </w:rPr>
              <w:t>Свистунов Василий Михайлович, д.э.н., профессор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Уникальность программы, заключающаяся в интеграции возможности получения серьезной теоретической подготовки по широкому кругу вопросов, связанных управлением трудом и персоналом на макро- и микроуровнях, с обучением современным методам и инструментам анализа экономических процессов на основе реальных баз данных и экономического обоснования эффективности принимаемых управленческих решений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Высокая востребованность на рынке труда  специалистов, владеющих знаниями современной экономики труда и навыками прикладного анализа трудовых отношений, процессов, происходящих на рынке труда, а также вопросов формирования и использования персонала в организации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Актуальность программы, обусловленная современными экономическими условиями, в которых модернизация экономики и повышение научного потенциала, конкурентоспособность специалистов различного уровня предъявляют высокие требования к подготовке компетентных экономистов - специалистов в области управления трудом и персоналом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Реализация в рамках программы комплексной управленческой подготовки менеджеров на основе междисциплинарного подхода и внедрения инновационных образовательных технологий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Опыт реализации магистерских программ в области экономики труда и управления человеческими ресурсами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Наличие авторских, в том числе электронных учебников по профилирующим дисциплинам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Преемственность учебно-методического обеспечения по важнейшим дисциплинам программы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Опыт формирования программ ВПО и ДПО, по специальности (направлениям) «Управление персоналом» и «Менеджмент»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Ориентация  на компетентностный подход к определению содержания обучения; обеспечение сбалансированности компетенций – собственно профессиональных, как ключевых, базовых и «надпрофессиональных» (овладение иностранным языком, информационными технологиями, коммуникативными навыками, и др.)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Направленность  на подготовку к одному или нескольким видам деятельности: к научно-исследовательской, научно-педагогической, проектной, организаторской, инновационной деятельности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Практикоориентированность обучения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Многообразие образовательных технологий; широкое применение интерактивных технологий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Освоение студентами базовых компетенций исследовательской и инновационной деятельности через их включение в соответствующие практики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Высокая доля интерактивных видов аудиторной работы (решение кейсов, деловые и ролевые игры, метод «мозгового штурма», круглые столы и др.);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Использование в процессе обучения мультимедийного оборудования и интернет-коммуникаций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Привлечение специалистов-практиков для ведения дисциплин профильного цикла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Получаемые студентами знания будут проходить апробацию в ходе обучения через участие в работе учебно-научной лаборатории, выполнение исследовательских проектов, презентацию результатов исследований на научных семинарах, подключение к исследовательской работе преподавателей кафедры «Управление персоналом»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Аппарат Совета Федерации Федерального Собрания РФ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Некоммерческое партнерство «Эксперты рынка труда»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ОАО «Метровагонмаш»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Центральный Банк России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ОАО «Мобильные ТелеСистемы»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ООО «УК «Бизнес – Логистик»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Консалтинговая группа «Имикор» и др.</w:t>
            </w: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spacing w:after="0" w:line="240" w:lineRule="auto"/>
              <w:rPr>
                <w:rFonts w:cs="Calibri"/>
                <w:b/>
                <w:color w:val="0F243E"/>
              </w:rPr>
            </w:pPr>
          </w:p>
        </w:tc>
      </w:tr>
      <w:tr w:rsidR="002D6907" w:rsidRPr="00C770CC" w:rsidTr="00C770CC">
        <w:trPr>
          <w:trHeight w:val="70"/>
        </w:trPr>
        <w:tc>
          <w:tcPr>
            <w:tcW w:w="3510" w:type="dxa"/>
          </w:tcPr>
          <w:p w:rsidR="002D6907" w:rsidRPr="00C770CC" w:rsidRDefault="002D6907" w:rsidP="00C770CC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C770CC">
              <w:rPr>
                <w:rFonts w:cs="Calibri"/>
                <w:b/>
                <w:color w:val="0F243E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Экономика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Социология и психология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Управление человеческими ресурсами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Современные методы организации и нормирования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Современные методы оплаты и стимулирования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 xml:space="preserve">Управление социально-трудовыми отношениями   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Управление качеством трудовой жизни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 xml:space="preserve">Статистика труда  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Анализ российского рынка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Экономика народонаселения и демография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Управление миграционными процессами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Социально-трудовой аудит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Социальное партнерство в сфере труда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Корпоративная социальная политика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Современные методы пенсионного обеспечения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Управление кадровыми рисками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Оценка и развитие трудового потенциала организации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Анализ трудовых показателей организации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Психофизиология трудовой деятельности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Эффективность управления человеческими ресурсами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Эффективность труда персонала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Социальная защита</w:t>
            </w:r>
          </w:p>
          <w:p w:rsidR="002D6907" w:rsidRPr="00C770CC" w:rsidRDefault="002D6907" w:rsidP="00C770C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18" w:hanging="284"/>
              <w:rPr>
                <w:color w:val="0F243E"/>
              </w:rPr>
            </w:pPr>
            <w:r w:rsidRPr="00C770CC">
              <w:rPr>
                <w:color w:val="0F243E"/>
              </w:rPr>
              <w:t>Информационное обеспечение управления социально-трудовой сферой</w:t>
            </w:r>
          </w:p>
        </w:tc>
      </w:tr>
    </w:tbl>
    <w:p w:rsidR="002D6907" w:rsidRPr="00F819B5" w:rsidRDefault="002D6907" w:rsidP="00D46781">
      <w:pPr>
        <w:pBdr>
          <w:left w:val="single" w:sz="4" w:space="0" w:color="auto"/>
        </w:pBdr>
        <w:rPr>
          <w:rFonts w:cs="Calibri"/>
          <w:color w:val="0F243E"/>
        </w:rPr>
      </w:pPr>
    </w:p>
    <w:sectPr w:rsidR="002D6907" w:rsidRPr="00F819B5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07" w:rsidRDefault="002D6907" w:rsidP="00787318">
      <w:pPr>
        <w:spacing w:after="0" w:line="240" w:lineRule="auto"/>
      </w:pPr>
      <w:r>
        <w:separator/>
      </w:r>
    </w:p>
  </w:endnote>
  <w:endnote w:type="continuationSeparator" w:id="0">
    <w:p w:rsidR="002D6907" w:rsidRDefault="002D6907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07" w:rsidRDefault="002D690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" stroked="f">
          <v:textbox>
            <w:txbxContent>
              <w:p w:rsidR="002D6907" w:rsidRPr="002F24F0" w:rsidRDefault="002D6907" w:rsidP="009C0033">
                <w:pPr>
                  <w:pStyle w:val="Header"/>
                  <w:ind w:firstLine="851"/>
                </w:pPr>
                <w:r w:rsidRPr="002F24F0">
                  <w:t>Образовательная программа</w:t>
                </w:r>
                <w:r>
                  <w:t xml:space="preserve"> </w:t>
                </w:r>
              </w:p>
              <w:p w:rsidR="002D6907" w:rsidRPr="002F24F0" w:rsidRDefault="002D6907" w:rsidP="009540C1">
                <w:pPr>
                  <w:pStyle w:val="Header"/>
                  <w:ind w:firstLine="851"/>
                </w:pPr>
                <w:r>
                  <w:t>ЭКОНОМИКА ТРУДА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07" w:rsidRDefault="002D6907" w:rsidP="00787318">
      <w:pPr>
        <w:spacing w:after="0" w:line="240" w:lineRule="auto"/>
      </w:pPr>
      <w:r>
        <w:separator/>
      </w:r>
    </w:p>
  </w:footnote>
  <w:footnote w:type="continuationSeparator" w:id="0">
    <w:p w:rsidR="002D6907" w:rsidRDefault="002D6907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07" w:rsidRDefault="002D690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2D6907" w:rsidRDefault="002D6907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2D6907" w:rsidRDefault="002D6907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2E6C4C"/>
    <w:multiLevelType w:val="hybridMultilevel"/>
    <w:tmpl w:val="CA107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521D8"/>
    <w:multiLevelType w:val="hybridMultilevel"/>
    <w:tmpl w:val="04DCA7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00DF4"/>
    <w:multiLevelType w:val="hybridMultilevel"/>
    <w:tmpl w:val="90E4EF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51CF9"/>
    <w:multiLevelType w:val="hybridMultilevel"/>
    <w:tmpl w:val="70029D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2954DC"/>
    <w:multiLevelType w:val="hybridMultilevel"/>
    <w:tmpl w:val="3AB8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03939"/>
    <w:multiLevelType w:val="hybridMultilevel"/>
    <w:tmpl w:val="4104C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6449AF"/>
    <w:multiLevelType w:val="hybridMultilevel"/>
    <w:tmpl w:val="233E6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A4224"/>
    <w:multiLevelType w:val="hybridMultilevel"/>
    <w:tmpl w:val="287EAC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52D84"/>
    <w:multiLevelType w:val="hybridMultilevel"/>
    <w:tmpl w:val="BEC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71B39"/>
    <w:multiLevelType w:val="hybridMultilevel"/>
    <w:tmpl w:val="35CE75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D65A25"/>
    <w:multiLevelType w:val="hybridMultilevel"/>
    <w:tmpl w:val="FB8E43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C3D72"/>
    <w:multiLevelType w:val="hybridMultilevel"/>
    <w:tmpl w:val="F0E4F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84B13"/>
    <w:multiLevelType w:val="hybridMultilevel"/>
    <w:tmpl w:val="A7BE8C8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A71957"/>
    <w:multiLevelType w:val="hybridMultilevel"/>
    <w:tmpl w:val="CAFA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A6CF7"/>
    <w:multiLevelType w:val="hybridMultilevel"/>
    <w:tmpl w:val="384C2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507C9"/>
    <w:multiLevelType w:val="hybridMultilevel"/>
    <w:tmpl w:val="94D2B1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5"/>
  </w:num>
  <w:num w:numId="9">
    <w:abstractNumId w:val="19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8539E"/>
    <w:rsid w:val="000E01A9"/>
    <w:rsid w:val="00131F69"/>
    <w:rsid w:val="001564B6"/>
    <w:rsid w:val="001626DD"/>
    <w:rsid w:val="001A5C02"/>
    <w:rsid w:val="001C68E3"/>
    <w:rsid w:val="001E3452"/>
    <w:rsid w:val="001E4532"/>
    <w:rsid w:val="001F3A9E"/>
    <w:rsid w:val="0022277A"/>
    <w:rsid w:val="00243038"/>
    <w:rsid w:val="00263DBA"/>
    <w:rsid w:val="00277243"/>
    <w:rsid w:val="002C1090"/>
    <w:rsid w:val="002D6907"/>
    <w:rsid w:val="002F24F0"/>
    <w:rsid w:val="002F7950"/>
    <w:rsid w:val="00300C60"/>
    <w:rsid w:val="00320C75"/>
    <w:rsid w:val="003504E4"/>
    <w:rsid w:val="0037161C"/>
    <w:rsid w:val="003B1D68"/>
    <w:rsid w:val="003C3244"/>
    <w:rsid w:val="003C578B"/>
    <w:rsid w:val="003F0CF1"/>
    <w:rsid w:val="00415834"/>
    <w:rsid w:val="0048745D"/>
    <w:rsid w:val="0050575A"/>
    <w:rsid w:val="005425DC"/>
    <w:rsid w:val="005E1200"/>
    <w:rsid w:val="00646A77"/>
    <w:rsid w:val="00692183"/>
    <w:rsid w:val="006B102D"/>
    <w:rsid w:val="006D0776"/>
    <w:rsid w:val="006E33B9"/>
    <w:rsid w:val="006F78BF"/>
    <w:rsid w:val="00710D3D"/>
    <w:rsid w:val="007834CE"/>
    <w:rsid w:val="00787318"/>
    <w:rsid w:val="007A4315"/>
    <w:rsid w:val="007E35DC"/>
    <w:rsid w:val="007F7296"/>
    <w:rsid w:val="008040FB"/>
    <w:rsid w:val="00835192"/>
    <w:rsid w:val="00882C68"/>
    <w:rsid w:val="008A392F"/>
    <w:rsid w:val="00901844"/>
    <w:rsid w:val="0092768F"/>
    <w:rsid w:val="0095174A"/>
    <w:rsid w:val="009540C1"/>
    <w:rsid w:val="009C0033"/>
    <w:rsid w:val="009C5DC3"/>
    <w:rsid w:val="009E1A5B"/>
    <w:rsid w:val="00A05428"/>
    <w:rsid w:val="00A15092"/>
    <w:rsid w:val="00A166ED"/>
    <w:rsid w:val="00A178FF"/>
    <w:rsid w:val="00A905A6"/>
    <w:rsid w:val="00A95A5F"/>
    <w:rsid w:val="00AA50E4"/>
    <w:rsid w:val="00AC01D4"/>
    <w:rsid w:val="00AF41AA"/>
    <w:rsid w:val="00B26D1D"/>
    <w:rsid w:val="00B76839"/>
    <w:rsid w:val="00C23689"/>
    <w:rsid w:val="00C41849"/>
    <w:rsid w:val="00C7136C"/>
    <w:rsid w:val="00C76BAF"/>
    <w:rsid w:val="00C770CC"/>
    <w:rsid w:val="00C81DAE"/>
    <w:rsid w:val="00C844FC"/>
    <w:rsid w:val="00C87E1D"/>
    <w:rsid w:val="00C95BBB"/>
    <w:rsid w:val="00CC7D40"/>
    <w:rsid w:val="00D46781"/>
    <w:rsid w:val="00D64383"/>
    <w:rsid w:val="00DD2119"/>
    <w:rsid w:val="00E06CD5"/>
    <w:rsid w:val="00E87B09"/>
    <w:rsid w:val="00E90DBC"/>
    <w:rsid w:val="00F0305D"/>
    <w:rsid w:val="00F368FF"/>
    <w:rsid w:val="00F41DAD"/>
    <w:rsid w:val="00F8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1090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2C109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775</Words>
  <Characters>4423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dcterms:created xsi:type="dcterms:W3CDTF">2016-03-28T10:11:00Z</dcterms:created>
  <dcterms:modified xsi:type="dcterms:W3CDTF">2016-03-28T10:11:00Z</dcterms:modified>
</cp:coreProperties>
</file>